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29133" w14:textId="36C5862A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20687E6" w14:textId="76C16170" w:rsidR="001179C4" w:rsidRPr="00B25594" w:rsidRDefault="001179C4" w:rsidP="00B2559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2228066" wp14:editId="50A4878B">
                <wp:extent cx="5943600" cy="1270"/>
                <wp:effectExtent l="0" t="31750" r="0" b="36830"/>
                <wp:docPr id="1790759090" name="Rectangl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BC9747" id="Rectangle 1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  <w:r w:rsidRPr="001179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Jacqueline Morga</w:t>
      </w:r>
      <w:r w:rsidR="00B2559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n</w:t>
      </w:r>
    </w:p>
    <w:p w14:paraId="7F9874F7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Atlanta, GA</w:t>
      </w:r>
    </w:p>
    <w:p w14:paraId="03B40658" w14:textId="77777777" w:rsidR="00B2559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770-364-6358</w:t>
      </w:r>
    </w:p>
    <w:p w14:paraId="33413542" w14:textId="5A2D4165" w:rsidR="001179C4" w:rsidRPr="001179C4" w:rsidRDefault="00B2559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Morganjacque@yahoo.com</w:t>
      </w:r>
    </w:p>
    <w:p w14:paraId="67A4FDD7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52F0CC11" wp14:editId="7AD18994">
                <wp:extent cx="5943600" cy="1270"/>
                <wp:effectExtent l="0" t="31750" r="0" b="36830"/>
                <wp:docPr id="1723771789" name="Rectangl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CAF094" id="Rectangle 1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1FDC8B65" w14:textId="3B04CC37" w:rsidR="001179C4" w:rsidRPr="00B25594" w:rsidRDefault="001179C4" w:rsidP="00B25594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EXECUTIVE PROFILE</w:t>
      </w:r>
    </w:p>
    <w:p w14:paraId="25037E88" w14:textId="22481419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 xml:space="preserve">Strategic payments and financial services executive with more than 25 years of leadership experience driving </w:t>
      </w:r>
      <w:r w:rsidR="008C789B">
        <w:rPr>
          <w:rFonts w:ascii="Times New Roman" w:hAnsi="Times New Roman" w:cs="Times New Roman"/>
          <w:kern w:val="0"/>
          <w14:ligatures w14:val="none"/>
        </w:rPr>
        <w:t xml:space="preserve">profitable </w:t>
      </w:r>
      <w:r w:rsidRPr="001179C4">
        <w:rPr>
          <w:rFonts w:ascii="Times New Roman" w:hAnsi="Times New Roman" w:cs="Times New Roman"/>
          <w:kern w:val="0"/>
          <w14:ligatures w14:val="none"/>
        </w:rPr>
        <w:t xml:space="preserve">global partnerships, revenue growth, and product commercialization across the payments ecosystem. Proven ability to lead </w:t>
      </w:r>
      <w:r w:rsidR="0015612A">
        <w:rPr>
          <w:rFonts w:ascii="Times New Roman" w:hAnsi="Times New Roman" w:cs="Times New Roman"/>
          <w:kern w:val="0"/>
          <w14:ligatures w14:val="none"/>
        </w:rPr>
        <w:t xml:space="preserve">global, </w:t>
      </w:r>
      <w:r w:rsidRPr="001179C4">
        <w:rPr>
          <w:rFonts w:ascii="Times New Roman" w:hAnsi="Times New Roman" w:cs="Times New Roman"/>
          <w:kern w:val="0"/>
          <w14:ligatures w14:val="none"/>
        </w:rPr>
        <w:t>complex client relationships</w:t>
      </w:r>
      <w:r w:rsidR="0015612A">
        <w:rPr>
          <w:rFonts w:ascii="Times New Roman" w:hAnsi="Times New Roman" w:cs="Times New Roman"/>
          <w:kern w:val="0"/>
          <w14:ligatures w14:val="none"/>
        </w:rPr>
        <w:t xml:space="preserve"> and engagement</w:t>
      </w:r>
      <w:r w:rsidRPr="001179C4">
        <w:rPr>
          <w:rFonts w:ascii="Times New Roman" w:hAnsi="Times New Roman" w:cs="Times New Roman"/>
          <w:kern w:val="0"/>
          <w14:ligatures w14:val="none"/>
        </w:rPr>
        <w:t>, scale global payment platforms, and deliver enterprise solutions across consumer, commercial, and small business segments.</w:t>
      </w:r>
    </w:p>
    <w:p w14:paraId="1219F2B6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Deep expertise in payment processing, card issuing, fintech partnerships, and global account management. Track record of managing multi-billion-dollar payment portfolios, negotiating large strategic agreements, and launching innovative payment capabilities across global markets. Known for building trusted executive relationships, aligning cross-functional teams, and delivering measurable business outcomes.</w:t>
      </w:r>
    </w:p>
    <w:p w14:paraId="0880F8A7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5397F810" wp14:editId="08145D0D">
                <wp:extent cx="5943600" cy="1270"/>
                <wp:effectExtent l="0" t="31750" r="0" b="36830"/>
                <wp:docPr id="2047420970" name="Rectangl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87ABCC" id="Rectangle 1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7CC0B27E" w14:textId="7B1E1A3C" w:rsidR="001179C4" w:rsidRPr="008C6C33" w:rsidRDefault="001179C4" w:rsidP="008C6C33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CORE COMPETENCIES</w:t>
      </w:r>
    </w:p>
    <w:p w14:paraId="078C768D" w14:textId="7FCBFF28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Payments &amp; Financial Service</w:t>
      </w:r>
      <w:r w:rsidR="008C6C33">
        <w:rPr>
          <w:rFonts w:ascii="Times New Roman" w:hAnsi="Times New Roman" w:cs="Times New Roman"/>
          <w:kern w:val="0"/>
          <w14:ligatures w14:val="none"/>
        </w:rPr>
        <w:t>s</w:t>
      </w:r>
    </w:p>
    <w:p w14:paraId="32ACAC8E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Global Strategic Partnerships</w:t>
      </w:r>
    </w:p>
    <w:p w14:paraId="2564994E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Fintech Ecosystem Development</w:t>
      </w:r>
    </w:p>
    <w:p w14:paraId="1F5A1762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Payment Processing &amp; Card Issuing</w:t>
      </w:r>
    </w:p>
    <w:p w14:paraId="5E3FE078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Revenue Growth &amp; Portfolio Optimization</w:t>
      </w:r>
    </w:p>
    <w:p w14:paraId="53933B93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Product Commercialization</w:t>
      </w:r>
    </w:p>
    <w:p w14:paraId="52616A64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lastRenderedPageBreak/>
        <w:t>Client Enablement Strategy</w:t>
      </w:r>
    </w:p>
    <w:p w14:paraId="7E3B5F0F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Go-to-Market Strategy</w:t>
      </w:r>
    </w:p>
    <w:p w14:paraId="46BAAF65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Executive Relationship Management</w:t>
      </w:r>
    </w:p>
    <w:p w14:paraId="02E79395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Market Expansion (North America, LATAM, Europe)</w:t>
      </w:r>
    </w:p>
    <w:p w14:paraId="09155F19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Digital Payments (RTP, BNPL, P2P)</w:t>
      </w:r>
    </w:p>
    <w:p w14:paraId="13EDFCC2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Cross-Functional Leadership</w:t>
      </w:r>
    </w:p>
    <w:p w14:paraId="2C064B33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Enterprise Client Management</w:t>
      </w:r>
    </w:p>
    <w:p w14:paraId="087FBEFB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P&amp;L Ownership</w:t>
      </w:r>
    </w:p>
    <w:p w14:paraId="27CE5E0B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Strategic Negotiation &amp; Contracting</w:t>
      </w:r>
    </w:p>
    <w:p w14:paraId="32FA8654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0426A08" wp14:editId="5EEA721F">
                <wp:extent cx="5943600" cy="1270"/>
                <wp:effectExtent l="0" t="31750" r="0" b="36830"/>
                <wp:docPr id="1845231945" name="Rectangl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E2B620" id="Rectangle 1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0001ACB" w14:textId="77777777" w:rsidR="001179C4" w:rsidRPr="001179C4" w:rsidRDefault="001179C4" w:rsidP="001179C4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SELECTED EXECUTIVE ACHIEVEMENTS</w:t>
      </w:r>
    </w:p>
    <w:p w14:paraId="2F10D0E0" w14:textId="139686AE" w:rsidR="001179C4" w:rsidRPr="001179C4" w:rsidRDefault="001179C4" w:rsidP="001179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executive partnership representing $1</w:t>
      </w:r>
      <w:r w:rsidR="00635EAA">
        <w:rPr>
          <w:rFonts w:ascii="Times New Roman" w:hAnsi="Times New Roman" w:cs="Times New Roman"/>
          <w:kern w:val="0"/>
          <w14:ligatures w14:val="none"/>
        </w:rPr>
        <w:t xml:space="preserve">60B+ </w:t>
      </w:r>
      <w:r w:rsidRPr="001179C4">
        <w:rPr>
          <w:rFonts w:ascii="Times New Roman" w:hAnsi="Times New Roman" w:cs="Times New Roman"/>
          <w:kern w:val="0"/>
          <w14:ligatures w14:val="none"/>
        </w:rPr>
        <w:t>in annual payment processing volume and 32B transactions globally</w:t>
      </w:r>
    </w:p>
    <w:p w14:paraId="3329EB8E" w14:textId="77777777" w:rsidR="001179C4" w:rsidRPr="001179C4" w:rsidRDefault="001179C4" w:rsidP="001179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strategic initiatives that drove record-breaking growth in Visa Small Business Credit and Debit portfolios</w:t>
      </w:r>
    </w:p>
    <w:p w14:paraId="6A3E79AE" w14:textId="77777777" w:rsidR="001179C4" w:rsidRPr="001179C4" w:rsidRDefault="001179C4" w:rsidP="001179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Delivered 47% commercial card growth for a major financial institution portfolio</w:t>
      </w:r>
    </w:p>
    <w:p w14:paraId="79CEF2E8" w14:textId="6D1339BD" w:rsidR="001179C4" w:rsidRPr="001179C4" w:rsidRDefault="001179C4" w:rsidP="001179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Negotiated and executed a</w:t>
      </w:r>
      <w:r w:rsidR="00F12338">
        <w:rPr>
          <w:rFonts w:ascii="Times New Roman" w:hAnsi="Times New Roman" w:cs="Times New Roman"/>
          <w:kern w:val="0"/>
          <w14:ligatures w14:val="none"/>
        </w:rPr>
        <w:t xml:space="preserve"> first time,</w:t>
      </w:r>
      <w:r w:rsidRPr="001179C4">
        <w:rPr>
          <w:rFonts w:ascii="Times New Roman" w:hAnsi="Times New Roman" w:cs="Times New Roman"/>
          <w:kern w:val="0"/>
          <w14:ligatures w14:val="none"/>
        </w:rPr>
        <w:t xml:space="preserve"> multi-year strategic partnership agreement with a leading global payment processor</w:t>
      </w:r>
    </w:p>
    <w:p w14:paraId="1349A14D" w14:textId="77777777" w:rsidR="001179C4" w:rsidRPr="001179C4" w:rsidRDefault="001179C4" w:rsidP="001179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Expanded global payments partnerships across 170 countries</w:t>
      </w:r>
    </w:p>
    <w:p w14:paraId="0ABDB38F" w14:textId="77777777" w:rsidR="001179C4" w:rsidRPr="001179C4" w:rsidRDefault="001179C4" w:rsidP="001179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product commercialization and client enablement strategies across consumer, commercial, and small business payment segments</w:t>
      </w:r>
    </w:p>
    <w:p w14:paraId="2A9E2B59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6328F876" wp14:editId="35D0A19B">
                <wp:extent cx="5943600" cy="1270"/>
                <wp:effectExtent l="0" t="31750" r="0" b="36830"/>
                <wp:docPr id="266861227" name="Rectang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11859A" id="Rectangle 1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26E7E532" w14:textId="204DE248" w:rsidR="001179C4" w:rsidRPr="008C6C33" w:rsidRDefault="001179C4" w:rsidP="008C6C33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PROFESSIONAL EXPERIENCE</w:t>
      </w:r>
    </w:p>
    <w:p w14:paraId="0C57FA15" w14:textId="124CA007" w:rsidR="001179C4" w:rsidRPr="008C6C33" w:rsidRDefault="001179C4" w:rsidP="008C6C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Visa Inc.</w:t>
      </w:r>
    </w:p>
    <w:p w14:paraId="72E7D0E9" w14:textId="048F6554" w:rsidR="001179C4" w:rsidRPr="008C6C33" w:rsidRDefault="001179C4" w:rsidP="008C6C3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Global Head, Executive Client Payment Processing</w:t>
      </w:r>
    </w:p>
    <w:p w14:paraId="24AA2B2B" w14:textId="755C710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June 2020 – October 2024</w:t>
      </w:r>
    </w:p>
    <w:p w14:paraId="4AB24FAC" w14:textId="4A4BD9C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lastRenderedPageBreak/>
        <w:t>Executive relationship leader for one of the world’s largest payment processors operating across 170 countries, supporting financial institutions representing 32B+ annual transactions and approximately $1</w:t>
      </w:r>
      <w:r w:rsidR="00635EAA">
        <w:rPr>
          <w:rFonts w:ascii="Times New Roman" w:hAnsi="Times New Roman" w:cs="Times New Roman"/>
          <w:kern w:val="0"/>
          <w14:ligatures w14:val="none"/>
        </w:rPr>
        <w:t>60B+</w:t>
      </w:r>
      <w:r w:rsidRPr="001179C4">
        <w:rPr>
          <w:rFonts w:ascii="Times New Roman" w:hAnsi="Times New Roman" w:cs="Times New Roman"/>
          <w:kern w:val="0"/>
          <w14:ligatures w14:val="none"/>
        </w:rPr>
        <w:t xml:space="preserve"> in payment processing volume.</w:t>
      </w:r>
    </w:p>
    <w:p w14:paraId="71F4A923" w14:textId="654BC68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Responsible for managing one of Visa’s most complex strategic client relationships, driving revenue growth, market expansion, and cross-enterprise collaboration across multiple business lines.</w:t>
      </w:r>
    </w:p>
    <w:p w14:paraId="52099741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Key Contributions:</w:t>
      </w:r>
    </w:p>
    <w:p w14:paraId="54FC75E6" w14:textId="77777777" w:rsidR="001179C4" w:rsidRPr="001179C4" w:rsidRDefault="001179C4" w:rsidP="001179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global strategic partnership across consumer, commercial, prepaid, and small business payment platforms</w:t>
      </w:r>
    </w:p>
    <w:p w14:paraId="7443D7DC" w14:textId="77777777" w:rsidR="001179C4" w:rsidRPr="001179C4" w:rsidRDefault="001179C4" w:rsidP="001179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executive relationship with North America’s largest commercial payment processor</w:t>
      </w:r>
    </w:p>
    <w:p w14:paraId="69BD14EC" w14:textId="77777777" w:rsidR="001179C4" w:rsidRPr="001179C4" w:rsidRDefault="001179C4" w:rsidP="001179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Negotiated and executed the first multi-year strategic partnership contract with the client</w:t>
      </w:r>
    </w:p>
    <w:p w14:paraId="15D88145" w14:textId="77777777" w:rsidR="001179C4" w:rsidRPr="001179C4" w:rsidRDefault="001179C4" w:rsidP="001179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Drove portfolio profitability, revenue growth, and market share expansion</w:t>
      </w:r>
    </w:p>
    <w:p w14:paraId="2DE3FE3F" w14:textId="77777777" w:rsidR="001179C4" w:rsidRPr="001179C4" w:rsidRDefault="001179C4" w:rsidP="001179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Developed executive client account strategies and quarterly business reviews</w:t>
      </w:r>
    </w:p>
    <w:p w14:paraId="1E9D89FC" w14:textId="77777777" w:rsidR="001179C4" w:rsidRPr="001179C4" w:rsidRDefault="001179C4" w:rsidP="001179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Identified growth opportunities across BNPL, real-time payments, P2P payments, fintech partnerships, and cloud connectivity</w:t>
      </w:r>
    </w:p>
    <w:p w14:paraId="1CC34CE2" w14:textId="77777777" w:rsidR="001179C4" w:rsidRPr="001179C4" w:rsidRDefault="001179C4" w:rsidP="001179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Partnered with product, risk, marketing, and payments innovation teams to deliver integrated payment solutions</w:t>
      </w:r>
    </w:p>
    <w:p w14:paraId="0B6946C2" w14:textId="77777777" w:rsidR="001179C4" w:rsidRPr="001179C4" w:rsidRDefault="001179C4" w:rsidP="001179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joint innovation roadmap focused on market expansion in Latin America and Europe</w:t>
      </w:r>
    </w:p>
    <w:p w14:paraId="60CC2CFB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FD48FE0" wp14:editId="38A052AD">
                <wp:extent cx="5943600" cy="1270"/>
                <wp:effectExtent l="0" t="31750" r="0" b="36830"/>
                <wp:docPr id="1450784157" name="Rectangl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18186C" id="Rectangle 1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FFC03A0" w14:textId="54D8B960" w:rsidR="001179C4" w:rsidRPr="0086211D" w:rsidRDefault="001179C4" w:rsidP="0086211D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Nav Inc.</w:t>
      </w:r>
    </w:p>
    <w:p w14:paraId="4003A796" w14:textId="36408EC1" w:rsidR="001179C4" w:rsidRPr="0086211D" w:rsidRDefault="001179C4" w:rsidP="008621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General Manager, Enterprise &amp; Financing Partners – Data Globalization</w:t>
      </w:r>
    </w:p>
    <w:p w14:paraId="41348CB6" w14:textId="6C4B4D5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June 2019 – June 2020</w:t>
      </w:r>
    </w:p>
    <w:p w14:paraId="5C61D5AE" w14:textId="7E5668AB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enterprise integration partnerships and financial performance for fintech startup focused on small business financial solutions.</w:t>
      </w:r>
    </w:p>
    <w:p w14:paraId="6CEDE057" w14:textId="2B0015EB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Responsibilities included strategic partnership growth, financial modeling, product go-to-market strategy, and executive collaboration.</w:t>
      </w:r>
    </w:p>
    <w:p w14:paraId="7CC4671B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Key Contributions:</w:t>
      </w:r>
    </w:p>
    <w:p w14:paraId="15B4809B" w14:textId="77777777" w:rsidR="001179C4" w:rsidRPr="001179C4" w:rsidRDefault="001179C4" w:rsidP="001179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Owned financial performance and growth strategy for enterprise partner ecosystem</w:t>
      </w:r>
    </w:p>
    <w:p w14:paraId="48B66F48" w14:textId="77777777" w:rsidR="001179C4" w:rsidRPr="001179C4" w:rsidRDefault="001179C4" w:rsidP="001179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Built financial models and growth plans for new fintech integration partnerships</w:t>
      </w:r>
    </w:p>
    <w:p w14:paraId="19D8071C" w14:textId="77777777" w:rsidR="001179C4" w:rsidRPr="001179C4" w:rsidRDefault="001179C4" w:rsidP="001179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product commercialization and joint marketing strategies with partners</w:t>
      </w:r>
    </w:p>
    <w:p w14:paraId="0F956A82" w14:textId="77777777" w:rsidR="001179C4" w:rsidRPr="001179C4" w:rsidRDefault="001179C4" w:rsidP="001179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Directed cross-functional collaboration across product, finance, operations, and executive leadership</w:t>
      </w:r>
    </w:p>
    <w:p w14:paraId="7223AC94" w14:textId="77777777" w:rsidR="001179C4" w:rsidRPr="001179C4" w:rsidRDefault="001179C4" w:rsidP="001179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strategic relationship roadmap and operational service delivery</w:t>
      </w:r>
    </w:p>
    <w:p w14:paraId="5DA0A22D" w14:textId="77777777" w:rsidR="001179C4" w:rsidRPr="001179C4" w:rsidRDefault="001179C4" w:rsidP="001179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lastRenderedPageBreak/>
        <w:t>Developed business cases supporting investment decisions, partnerships, and asset acquisitions</w:t>
      </w:r>
    </w:p>
    <w:p w14:paraId="767A6E4A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9908991" wp14:editId="38FA6DE5">
                <wp:extent cx="5943600" cy="1270"/>
                <wp:effectExtent l="0" t="31750" r="0" b="36830"/>
                <wp:docPr id="1561514842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4CDB6F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7DC8223E" w14:textId="5E745C9E" w:rsidR="001179C4" w:rsidRPr="0061772A" w:rsidRDefault="001179C4" w:rsidP="0061772A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Visa Inc.</w:t>
      </w:r>
    </w:p>
    <w:p w14:paraId="239118B3" w14:textId="645EB84D" w:rsidR="001179C4" w:rsidRPr="0061772A" w:rsidRDefault="001179C4" w:rsidP="006177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Vice President, Head of Small Business Product Client Enablement</w:t>
      </w:r>
    </w:p>
    <w:p w14:paraId="4D483DE7" w14:textId="079ABBD1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February 2014 – June 2019</w:t>
      </w:r>
    </w:p>
    <w:p w14:paraId="0FA76390" w14:textId="61DA9BEC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the consulting and product enablement organization supporting Visa’s $</w:t>
      </w:r>
      <w:r w:rsidR="002C4037">
        <w:rPr>
          <w:rFonts w:ascii="Times New Roman" w:hAnsi="Times New Roman" w:cs="Times New Roman"/>
          <w:kern w:val="0"/>
          <w14:ligatures w14:val="none"/>
        </w:rPr>
        <w:t>800B</w:t>
      </w:r>
      <w:r w:rsidRPr="001179C4">
        <w:rPr>
          <w:rFonts w:ascii="Times New Roman" w:hAnsi="Times New Roman" w:cs="Times New Roman"/>
          <w:kern w:val="0"/>
          <w14:ligatures w14:val="none"/>
        </w:rPr>
        <w:t>+ U.S. small business payments portfolio.</w:t>
      </w:r>
    </w:p>
    <w:p w14:paraId="4833E27C" w14:textId="1601685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Worked with financial institutions, merchants, acquirers, and processors to launch and expand small business payment programs.</w:t>
      </w:r>
    </w:p>
    <w:p w14:paraId="09849C12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Key Contributions:</w:t>
      </w:r>
    </w:p>
    <w:p w14:paraId="3F641D08" w14:textId="77777777" w:rsidR="001179C4" w:rsidRPr="001179C4" w:rsidRDefault="001179C4" w:rsidP="001179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Delivered record-breaking annual growth in small business credit and debit payment volumes</w:t>
      </w:r>
    </w:p>
    <w:p w14:paraId="7EBA821C" w14:textId="77777777" w:rsidR="001179C4" w:rsidRPr="001179C4" w:rsidRDefault="001179C4" w:rsidP="001179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Developed portfolio optimization strategies using segmentation and competitive market analysis</w:t>
      </w:r>
    </w:p>
    <w:p w14:paraId="541E73F1" w14:textId="77777777" w:rsidR="001179C4" w:rsidRPr="001179C4" w:rsidRDefault="001179C4" w:rsidP="001179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go-to-market strategies for new product launches and growth initiatives</w:t>
      </w:r>
    </w:p>
    <w:p w14:paraId="2F52C37C" w14:textId="77777777" w:rsidR="001179C4" w:rsidRPr="001179C4" w:rsidRDefault="001179C4" w:rsidP="001179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strategic proposals for financial institutions and co-brand partners</w:t>
      </w:r>
    </w:p>
    <w:p w14:paraId="15224B35" w14:textId="77777777" w:rsidR="001179C4" w:rsidRPr="001179C4" w:rsidRDefault="001179C4" w:rsidP="001179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Enabled successful deployment of new small business payment programs across U.S. partners</w:t>
      </w:r>
    </w:p>
    <w:p w14:paraId="5FABFDF4" w14:textId="77777777" w:rsidR="001179C4" w:rsidRPr="001179C4" w:rsidRDefault="001179C4" w:rsidP="001179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Represented Visa Small Business Product Office at national industry conferences and executive forums</w:t>
      </w:r>
    </w:p>
    <w:p w14:paraId="643A6157" w14:textId="77777777" w:rsidR="001179C4" w:rsidRPr="001179C4" w:rsidRDefault="001179C4" w:rsidP="001179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team of product specialists and coordinated cross-functional teams across Visa</w:t>
      </w:r>
    </w:p>
    <w:p w14:paraId="2EB52F6E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A56CB85" wp14:editId="6ECAABA5">
                <wp:extent cx="5943600" cy="1270"/>
                <wp:effectExtent l="0" t="31750" r="0" b="36830"/>
                <wp:docPr id="1717222295" name="Rectangl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C96D1B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510FEA83" w14:textId="2423FD41" w:rsidR="001179C4" w:rsidRPr="002C4037" w:rsidRDefault="001179C4" w:rsidP="002C4037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Visa Inc.</w:t>
      </w:r>
    </w:p>
    <w:p w14:paraId="472CCB70" w14:textId="67EB9EA8" w:rsidR="001179C4" w:rsidRPr="002C4037" w:rsidRDefault="001179C4" w:rsidP="002C40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Senior Executive, North America Signature Accounts</w:t>
      </w:r>
    </w:p>
    <w:p w14:paraId="449C4279" w14:textId="7448F56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May 2007 – February 2014</w:t>
      </w:r>
    </w:p>
    <w:p w14:paraId="07F02698" w14:textId="7518EBD9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strategic relationships and revenue growth initiatives for major financial institution clients representing significant Visa payment volume.</w:t>
      </w:r>
    </w:p>
    <w:p w14:paraId="23055B94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Key Contributions:</w:t>
      </w:r>
    </w:p>
    <w:p w14:paraId="1F9705C0" w14:textId="77777777" w:rsidR="001179C4" w:rsidRPr="001179C4" w:rsidRDefault="001179C4" w:rsidP="001179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Delivered record commercial card growth for four consecutive years</w:t>
      </w:r>
    </w:p>
    <w:p w14:paraId="7FC44713" w14:textId="77777777" w:rsidR="001179C4" w:rsidRPr="001179C4" w:rsidRDefault="001179C4" w:rsidP="001179C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lastRenderedPageBreak/>
        <w:t>47% growth (FY2010)</w:t>
      </w:r>
    </w:p>
    <w:p w14:paraId="27E7AA2D" w14:textId="77777777" w:rsidR="001179C4" w:rsidRPr="001179C4" w:rsidRDefault="001179C4" w:rsidP="001179C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44% growth (FY2011)</w:t>
      </w:r>
    </w:p>
    <w:p w14:paraId="7D784700" w14:textId="77777777" w:rsidR="001179C4" w:rsidRPr="001179C4" w:rsidRDefault="001179C4" w:rsidP="001179C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33% growth (FY2012)</w:t>
      </w:r>
    </w:p>
    <w:p w14:paraId="0A48D638" w14:textId="77777777" w:rsidR="001179C4" w:rsidRPr="001179C4" w:rsidRDefault="001179C4" w:rsidP="001179C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35% growth (FY2013)</w:t>
      </w:r>
    </w:p>
    <w:p w14:paraId="274EE88E" w14:textId="77777777" w:rsidR="001179C4" w:rsidRPr="001179C4" w:rsidRDefault="001179C4" w:rsidP="001179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Developed cross-sell strategies across commercial and small business portfolios</w:t>
      </w:r>
    </w:p>
    <w:p w14:paraId="193C4AA2" w14:textId="77777777" w:rsidR="001179C4" w:rsidRPr="001179C4" w:rsidRDefault="001179C4" w:rsidP="001179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Launched new prepaid programs and payment solutions</w:t>
      </w:r>
    </w:p>
    <w:p w14:paraId="3907E16C" w14:textId="77777777" w:rsidR="001179C4" w:rsidRPr="001179C4" w:rsidRDefault="001179C4" w:rsidP="001179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winning proposal supporting high-net-worth credit strategy</w:t>
      </w:r>
    </w:p>
    <w:p w14:paraId="7E5FCB64" w14:textId="77777777" w:rsidR="001179C4" w:rsidRPr="001179C4" w:rsidRDefault="001179C4" w:rsidP="001179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international expansion project supporting Canadian card issuance</w:t>
      </w:r>
    </w:p>
    <w:p w14:paraId="3C0AAF65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7027BC38" wp14:editId="3F6CA41C">
                <wp:extent cx="5943600" cy="1270"/>
                <wp:effectExtent l="0" t="31750" r="0" b="36830"/>
                <wp:docPr id="249626073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98822E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0A1103D" w14:textId="36269379" w:rsidR="001179C4" w:rsidRPr="002C4037" w:rsidRDefault="001179C4" w:rsidP="002C4037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Carlson Marketing</w:t>
      </w:r>
    </w:p>
    <w:p w14:paraId="3D0F32A8" w14:textId="760C674A" w:rsidR="001179C4" w:rsidRPr="002C4037" w:rsidRDefault="001179C4" w:rsidP="002C40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Account Director, Sales &amp; Marketing Consulting</w:t>
      </w:r>
    </w:p>
    <w:p w14:paraId="136300AB" w14:textId="662C1F7C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June 2004 – May 2007</w:t>
      </w:r>
    </w:p>
    <w:p w14:paraId="7A280EB7" w14:textId="6B1F516B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business development and relationship management for regional enterprise accounts delivering loyalty marketing and customer engagement strategies.</w:t>
      </w:r>
    </w:p>
    <w:p w14:paraId="6DC96D1A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Key Contributions:</w:t>
      </w:r>
    </w:p>
    <w:p w14:paraId="636B6A91" w14:textId="77777777" w:rsidR="001179C4" w:rsidRPr="001179C4" w:rsidRDefault="001179C4" w:rsidP="001179C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Designed and launched loyalty marketing programs for major consumer brands</w:t>
      </w:r>
    </w:p>
    <w:p w14:paraId="2AE41AB6" w14:textId="77777777" w:rsidR="001179C4" w:rsidRPr="001179C4" w:rsidRDefault="001179C4" w:rsidP="001179C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Grew loyalty program membership from 3M to 10M customers</w:t>
      </w:r>
    </w:p>
    <w:p w14:paraId="0BE19063" w14:textId="77777777" w:rsidR="001179C4" w:rsidRPr="001179C4" w:rsidRDefault="001179C4" w:rsidP="001179C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Increased customer engagement by 25%</w:t>
      </w:r>
    </w:p>
    <w:p w14:paraId="676CD864" w14:textId="77777777" w:rsidR="001179C4" w:rsidRPr="001179C4" w:rsidRDefault="001179C4" w:rsidP="001179C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Drove expansion of marketing investment from $40M to $80M</w:t>
      </w:r>
    </w:p>
    <w:p w14:paraId="55B65788" w14:textId="77777777" w:rsidR="001179C4" w:rsidRPr="001179C4" w:rsidRDefault="001179C4" w:rsidP="001179C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Partnered with payment processor to deploy loyalty credit and debit card services to financial institutions</w:t>
      </w:r>
    </w:p>
    <w:p w14:paraId="4F48E920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45E09213" wp14:editId="5350BCD1">
                <wp:extent cx="5943600" cy="1270"/>
                <wp:effectExtent l="0" t="31750" r="0" b="36830"/>
                <wp:docPr id="1539450459" name="Rectangl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6D8C2F5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B245FF8" w14:textId="77777777" w:rsidR="001179C4" w:rsidRPr="001179C4" w:rsidRDefault="001179C4" w:rsidP="001179C4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Visa USA – Atlanta, GA</w:t>
      </w:r>
    </w:p>
    <w:p w14:paraId="7D8283C8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EB2921D" w14:textId="5673F8EB" w:rsidR="001179C4" w:rsidRPr="00C47998" w:rsidRDefault="001179C4" w:rsidP="00C479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Senior Sales Director, Sales &amp; Integrated Solutions</w:t>
      </w:r>
    </w:p>
    <w:p w14:paraId="432B4B52" w14:textId="322682B2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September 1998 – June 2004</w:t>
      </w:r>
    </w:p>
    <w:p w14:paraId="57F7DF19" w14:textId="21A16021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strategic account management and business development for Visa’s two largest financial institution partners representing 28% of Visa U.S. payment volume.</w:t>
      </w:r>
    </w:p>
    <w:p w14:paraId="5B36A151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Key Contributions:</w:t>
      </w:r>
    </w:p>
    <w:p w14:paraId="59D77518" w14:textId="77777777" w:rsidR="001179C4" w:rsidRPr="001179C4" w:rsidRDefault="001179C4" w:rsidP="001179C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Generated 47% commercial card growth and secured $10B in new business</w:t>
      </w:r>
    </w:p>
    <w:p w14:paraId="39B3FD4D" w14:textId="77777777" w:rsidR="001179C4" w:rsidRPr="001179C4" w:rsidRDefault="001179C4" w:rsidP="001179C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lastRenderedPageBreak/>
        <w:t>Maintained more than 50% brand share for commercial card portfolios</w:t>
      </w:r>
    </w:p>
    <w:p w14:paraId="490935CF" w14:textId="77777777" w:rsidR="001179C4" w:rsidRPr="001179C4" w:rsidRDefault="001179C4" w:rsidP="001179C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Supported global business development across Europe, Latin America, and Asia-Pacific</w:t>
      </w:r>
    </w:p>
    <w:p w14:paraId="016220F1" w14:textId="77777777" w:rsidR="001179C4" w:rsidRPr="001179C4" w:rsidRDefault="001179C4" w:rsidP="001179C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Assisted financial institutions in restructuring acquiring businesses and prepaid programs</w:t>
      </w:r>
    </w:p>
    <w:p w14:paraId="2C966FC1" w14:textId="77777777" w:rsidR="001179C4" w:rsidRPr="001179C4" w:rsidRDefault="001179C4" w:rsidP="001179C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Supported brand selection for 100+ U.S. federal government agencies</w:t>
      </w:r>
    </w:p>
    <w:p w14:paraId="224A0D6B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5B687691" wp14:editId="51996DF2">
                <wp:extent cx="5943600" cy="1270"/>
                <wp:effectExtent l="0" t="31750" r="0" b="36830"/>
                <wp:docPr id="207762107" name="Rectangl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C8D736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3D7D171" w14:textId="48CE3233" w:rsidR="001179C4" w:rsidRPr="00C47998" w:rsidRDefault="001179C4" w:rsidP="00C47998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TSYS</w:t>
      </w:r>
    </w:p>
    <w:p w14:paraId="24DD6234" w14:textId="469CE702" w:rsidR="001179C4" w:rsidRPr="00C47998" w:rsidRDefault="001179C4" w:rsidP="00C479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Commercial Card Government Product Service Manager</w:t>
      </w:r>
    </w:p>
    <w:p w14:paraId="7EEF3E6C" w14:textId="03961350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June 1997 – August 1998</w:t>
      </w:r>
    </w:p>
    <w:p w14:paraId="3B3AB703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development and implementation of system enhancements supporting the GSA SmartPay government card program generating over $20B in payment volume.</w:t>
      </w:r>
    </w:p>
    <w:p w14:paraId="568BB8A4" w14:textId="77777777" w:rsidR="001179C4" w:rsidRPr="001179C4" w:rsidRDefault="001179C4" w:rsidP="001179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technology and product teams responsible for system development and product enhancements</w:t>
      </w:r>
    </w:p>
    <w:p w14:paraId="49376184" w14:textId="77777777" w:rsidR="001179C4" w:rsidRPr="001179C4" w:rsidRDefault="001179C4" w:rsidP="001179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cross-functional teams of developers, analysts, and product consultants</w:t>
      </w:r>
    </w:p>
    <w:p w14:paraId="6CA4DB0B" w14:textId="77777777" w:rsidR="001179C4" w:rsidRPr="001179C4" w:rsidRDefault="001179C4" w:rsidP="001179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Served as liaison with financial institutions, Visa, Mastercard, and federal agencies</w:t>
      </w:r>
    </w:p>
    <w:p w14:paraId="0B7429E3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061BAB85" wp14:editId="6E8FAF2E">
                <wp:extent cx="5943600" cy="1270"/>
                <wp:effectExtent l="0" t="31750" r="0" b="36830"/>
                <wp:docPr id="1495036267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94D68F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3DD836D" w14:textId="6A3C824B" w:rsidR="001179C4" w:rsidRPr="00C47998" w:rsidRDefault="001179C4" w:rsidP="00C47998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DYNCORP</w:t>
      </w:r>
    </w:p>
    <w:p w14:paraId="5A9C509E" w14:textId="54EBE712" w:rsidR="001179C4" w:rsidRPr="00C47998" w:rsidRDefault="001179C4" w:rsidP="00C4799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Business Development Manager</w:t>
      </w:r>
    </w:p>
    <w:p w14:paraId="22184F57" w14:textId="050DE19A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March 1992 – June 1997</w:t>
      </w:r>
    </w:p>
    <w:p w14:paraId="19A87674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Managed marketing strategy and business development initiatives for government and private sector clients.</w:t>
      </w:r>
    </w:p>
    <w:p w14:paraId="6ED4FC4E" w14:textId="77777777" w:rsidR="001179C4" w:rsidRPr="001179C4" w:rsidRDefault="001179C4" w:rsidP="001179C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Led proposal development and RFP response processes</w:t>
      </w:r>
    </w:p>
    <w:p w14:paraId="7BE03711" w14:textId="77777777" w:rsidR="001179C4" w:rsidRPr="001179C4" w:rsidRDefault="001179C4" w:rsidP="001179C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Conducted industry research and market analysis</w:t>
      </w:r>
    </w:p>
    <w:p w14:paraId="63AD753E" w14:textId="77777777" w:rsidR="001179C4" w:rsidRPr="001179C4" w:rsidRDefault="001179C4" w:rsidP="001179C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Coordinated cross-functional teams supporting proposal strategy and contract acquisition</w:t>
      </w:r>
    </w:p>
    <w:p w14:paraId="1077C549" w14:textId="77777777" w:rsidR="001179C4" w:rsidRPr="001179C4" w:rsidRDefault="001179C4" w:rsidP="001179C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9407BD0" wp14:editId="59DA9707">
                <wp:extent cx="5943600" cy="1270"/>
                <wp:effectExtent l="0" t="31750" r="0" b="36830"/>
                <wp:docPr id="1974652130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6082EB8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B6A4151" w14:textId="66D32CC2" w:rsidR="001179C4" w:rsidRPr="00C47998" w:rsidRDefault="001179C4" w:rsidP="00C47998">
      <w:pPr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1179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EDUCATION</w:t>
      </w:r>
    </w:p>
    <w:p w14:paraId="465894CC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Master of Public Policy (MPP)</w:t>
      </w:r>
    </w:p>
    <w:p w14:paraId="4F511DD1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Georgetown University</w:t>
      </w:r>
    </w:p>
    <w:p w14:paraId="75F1AE3E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lastRenderedPageBreak/>
        <w:t>Washington, DC</w:t>
      </w:r>
    </w:p>
    <w:p w14:paraId="53B68020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B5E325B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Bachelor of Science, Economics</w:t>
      </w:r>
    </w:p>
    <w:p w14:paraId="07BE81A9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University of Utah</w:t>
      </w:r>
    </w:p>
    <w:p w14:paraId="3280F781" w14:textId="77777777" w:rsidR="001179C4" w:rsidRPr="001179C4" w:rsidRDefault="001179C4" w:rsidP="001179C4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1179C4">
        <w:rPr>
          <w:rFonts w:ascii="Times New Roman" w:hAnsi="Times New Roman" w:cs="Times New Roman"/>
          <w:kern w:val="0"/>
          <w14:ligatures w14:val="none"/>
        </w:rPr>
        <w:t>Salt Lake City, UT</w:t>
      </w:r>
    </w:p>
    <w:p w14:paraId="79F8A228" w14:textId="0141FA21" w:rsidR="001179C4" w:rsidRPr="00662432" w:rsidRDefault="001179C4" w:rsidP="0066243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31E0D7C9" wp14:editId="19C3179C">
                <wp:extent cx="5943600" cy="1270"/>
                <wp:effectExtent l="0" t="31750" r="0" b="36830"/>
                <wp:docPr id="1153328022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6AC331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7EAD4045" w14:textId="756B13BF" w:rsidR="001179C4" w:rsidRPr="005A140B" w:rsidRDefault="001179C4" w:rsidP="005A140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6C6D6A20" wp14:editId="3C8D3F24">
                <wp:extent cx="5943600" cy="1270"/>
                <wp:effectExtent l="0" t="31750" r="0" b="36830"/>
                <wp:docPr id="1404290246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EC3AC4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13F3FC4B" w14:textId="18AF9EF9" w:rsidR="001179C4" w:rsidRPr="005A140B" w:rsidRDefault="001179C4" w:rsidP="005A140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179C4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1BC291D" wp14:editId="7A81F9A0">
                <wp:extent cx="5943600" cy="1270"/>
                <wp:effectExtent l="0" t="31750" r="0" b="36830"/>
                <wp:docPr id="348199137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972C8E2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253FDA5E" w14:textId="77777777" w:rsidR="001179C4" w:rsidRDefault="001179C4"/>
    <w:sectPr w:rsidR="00117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D369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56BC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D91A8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5775F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8F2E6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DB173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EA732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3D53A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D46F2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9911E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0438933">
    <w:abstractNumId w:val="4"/>
  </w:num>
  <w:num w:numId="2" w16cid:durableId="1929387646">
    <w:abstractNumId w:val="7"/>
  </w:num>
  <w:num w:numId="3" w16cid:durableId="666515667">
    <w:abstractNumId w:val="0"/>
  </w:num>
  <w:num w:numId="4" w16cid:durableId="1528133680">
    <w:abstractNumId w:val="6"/>
  </w:num>
  <w:num w:numId="5" w16cid:durableId="621964524">
    <w:abstractNumId w:val="3"/>
  </w:num>
  <w:num w:numId="6" w16cid:durableId="1124276072">
    <w:abstractNumId w:val="9"/>
  </w:num>
  <w:num w:numId="7" w16cid:durableId="1818498067">
    <w:abstractNumId w:val="2"/>
  </w:num>
  <w:num w:numId="8" w16cid:durableId="1121461964">
    <w:abstractNumId w:val="8"/>
  </w:num>
  <w:num w:numId="9" w16cid:durableId="1117024020">
    <w:abstractNumId w:val="1"/>
  </w:num>
  <w:num w:numId="10" w16cid:durableId="1073545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9C4"/>
    <w:rsid w:val="0007192E"/>
    <w:rsid w:val="001179C4"/>
    <w:rsid w:val="0015612A"/>
    <w:rsid w:val="0026758F"/>
    <w:rsid w:val="002C4037"/>
    <w:rsid w:val="00377E93"/>
    <w:rsid w:val="005121A1"/>
    <w:rsid w:val="005A140B"/>
    <w:rsid w:val="0061772A"/>
    <w:rsid w:val="00635EAA"/>
    <w:rsid w:val="00662432"/>
    <w:rsid w:val="00720119"/>
    <w:rsid w:val="007F3E87"/>
    <w:rsid w:val="0086211D"/>
    <w:rsid w:val="008C6C33"/>
    <w:rsid w:val="008C789B"/>
    <w:rsid w:val="00AC3A6C"/>
    <w:rsid w:val="00B25594"/>
    <w:rsid w:val="00B6126C"/>
    <w:rsid w:val="00C12677"/>
    <w:rsid w:val="00C47998"/>
    <w:rsid w:val="00F12338"/>
    <w:rsid w:val="00F8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309539"/>
  <w15:chartTrackingRefBased/>
  <w15:docId w15:val="{95850B89-B3D1-9748-9394-26E7DA118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79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79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79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79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79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79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79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79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79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79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79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79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79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79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79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79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79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79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7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7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79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7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79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79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79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79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79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79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79C4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1179C4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1179C4"/>
  </w:style>
  <w:style w:type="character" w:customStyle="1" w:styleId="s2">
    <w:name w:val="s2"/>
    <w:basedOn w:val="DefaultParagraphFont"/>
    <w:rsid w:val="001179C4"/>
  </w:style>
  <w:style w:type="paragraph" w:customStyle="1" w:styleId="p2">
    <w:name w:val="p2"/>
    <w:basedOn w:val="Normal"/>
    <w:rsid w:val="001179C4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3">
    <w:name w:val="s3"/>
    <w:basedOn w:val="DefaultParagraphFont"/>
    <w:rsid w:val="00117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1221</Words>
  <Characters>6964</Characters>
  <Application>Microsoft Office Word</Application>
  <DocSecurity>0</DocSecurity>
  <Lines>58</Lines>
  <Paragraphs>16</Paragraphs>
  <ScaleCrop>false</ScaleCrop>
  <Company/>
  <LinksUpToDate>false</LinksUpToDate>
  <CharactersWithSpaces>8169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 Morgan</dc:creator>
  <cp:keywords/>
  <dc:description/>
  <cp:lastModifiedBy>Jacque Morgan</cp:lastModifiedBy>
  <cp:revision>2</cp:revision>
  <dcterms:created xsi:type="dcterms:W3CDTF">2026-03-17T23:05:00Z</dcterms:created>
  <dcterms:modified xsi:type="dcterms:W3CDTF">2026-03-17T23:05:00Z</dcterms:modified>
</cp:coreProperties>
</file>