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60"/>
        <w:jc w:val="center"/>
      </w:pPr>
      <w:r>
        <w:rPr>
          <w:rFonts w:ascii="Arial" w:cs="Arial" w:eastAsia="Arial" w:hAnsi="Arial"/>
          <w:b/>
          <w:bCs/>
          <w:color w:val="1F4E79"/>
          <w:sz w:val="40"/>
          <w:szCs w:val="40"/>
        </w:rPr>
        <w:t xml:space="preserve">FETARI D. WELSH</w:t>
      </w:r>
    </w:p>
    <w:p>
      <w:pPr>
        <w:spacing w:after="80"/>
        <w:jc w:val="center"/>
      </w:pPr>
      <w:r>
        <w:rPr>
          <w:rFonts w:ascii="Arial" w:cs="Arial" w:eastAsia="Arial" w:hAnsi="Arial"/>
          <w:color w:val="444444"/>
          <w:sz w:val="18"/>
          <w:szCs w:val="18"/>
        </w:rPr>
        <w:t xml:space="preserve">Grand Prairie, TX 75054  |  (469) 321-7225  |  fetaridwelsh@yahoo.com  |  LinkedIn</w:t>
      </w:r>
    </w:p>
    <w:p>
      <w:pPr>
        <w:pBdr>
          <w:bottom w:val="single" w:color="1F4E79" w:sz="6"/>
        </w:pBdr>
        <w:spacing w:after="80"/>
      </w:pPr>
    </w:p>
    <w:p>
      <w:pPr>
        <w:spacing w:before="200" w:after="60"/>
      </w:pPr>
      <w:r>
        <w:rPr>
          <w:rFonts w:ascii="Arial" w:cs="Arial" w:eastAsia="Arial" w:hAnsi="Arial"/>
          <w:b/>
          <w:bCs/>
          <w:color w:val="1F4E79"/>
          <w:sz w:val="24"/>
          <w:szCs w:val="24"/>
        </w:rPr>
        <w:t xml:space="preserve">PROFESSIONAL SUMMARY</w:t>
      </w:r>
    </w:p>
    <w:p>
      <w:pPr>
        <w:pBdr>
          <w:bottom w:val="single" w:color="1F4E79" w:sz="6"/>
        </w:pBdr>
        <w:spacing w:after="80"/>
      </w:pPr>
    </w:p>
    <w:p>
      <w:pPr>
        <w:spacing w:after="80"/>
      </w:pPr>
      <w:r>
        <w:rPr>
          <w:rFonts w:ascii="Arial" w:cs="Arial" w:eastAsia="Arial" w:hAnsi="Arial"/>
          <w:sz w:val="20"/>
          <w:szCs w:val="20"/>
        </w:rPr>
        <w:t xml:space="preserve">Senior Compliance and Risk Management Executive with 26+ years in banking and financial services, including 18+ years leading enterprise compliance programs, regulatory relations, and risk management functions at top-tier financial institutions. Proven record of building and directing high-performing Regulatory Relations teams, managing complex regulatory examinations (OCC, FDIC, FED, CFPB, SEC, CFTC), and executing enforcement action remediation. Expert in BSA/AML, Consumer Compliance, Enterprise Risk Management, and IT Governance. Adept at advising C-Suite executives and Boards of Directors on regulatory strategy, risk appetite, and compliance frameworks.</w:t>
      </w:r>
    </w:p>
    <w:p>
      <w:pPr>
        <w:spacing w:before="200" w:after="60"/>
      </w:pPr>
      <w:r>
        <w:rPr>
          <w:rFonts w:ascii="Arial" w:cs="Arial" w:eastAsia="Arial" w:hAnsi="Arial"/>
          <w:b/>
          <w:bCs/>
          <w:color w:val="1F4E79"/>
          <w:sz w:val="24"/>
          <w:szCs w:val="24"/>
        </w:rPr>
        <w:t xml:space="preserve">CORE COMPETENCIES</w:t>
      </w:r>
    </w:p>
    <w:p>
      <w:pPr>
        <w:pBdr>
          <w:bottom w:val="single" w:color="1F4E79" w:sz="6"/>
        </w:pBdr>
        <w:spacing w:after="80"/>
      </w:pPr>
    </w:p>
    <w:p>
      <w:pPr>
        <w:spacing w:after="80"/>
      </w:pPr>
      <w:r>
        <w:rPr>
          <w:rFonts w:ascii="Arial" w:cs="Arial" w:eastAsia="Arial" w:hAnsi="Arial"/>
          <w:sz w:val="19"/>
          <w:szCs w:val="19"/>
        </w:rPr>
        <w:t xml:space="preserve">Regulatory Relations &amp; Exam Management  •  BSA/AML / Financial Crimes  •  Enterprise Risk Management  •  Consumer Compliance (UDAAP, FCRA, FDCPA, SCRA, TCPA, GLBA, CRA, Fair Lending)  •  Enforcement Action Remediation  •  Compliance Monitoring &amp; Testing  •  Regulatory Change Governance  •  IT Governance (COBIT)  •  Issue Tracking &amp; Management (ARCHER, SharePoint)  •  Internal Audit Oversight  •  Policy &amp; Procedure Development  •  CCAR / Stress Testing  •  Data Governance  •  Cross-Functional Leadership  •  Strategic Planning  •  People &amp; Team Development</w:t>
      </w:r>
    </w:p>
    <w:p>
      <w:pPr>
        <w:spacing w:before="200" w:after="60"/>
      </w:pPr>
      <w:r>
        <w:rPr>
          <w:rFonts w:ascii="Arial" w:cs="Arial" w:eastAsia="Arial" w:hAnsi="Arial"/>
          <w:b/>
          <w:bCs/>
          <w:color w:val="1F4E79"/>
          <w:sz w:val="24"/>
          <w:szCs w:val="24"/>
        </w:rPr>
        <w:t xml:space="preserve">PROFESSIONAL EXPERIENCE</w:t>
      </w:r>
    </w:p>
    <w:p>
      <w:pPr>
        <w:pBdr>
          <w:bottom w:val="single" w:color="1F4E79" w:sz="6"/>
        </w:pBdr>
        <w:spacing w:after="80"/>
      </w:pPr>
    </w:p>
    <w:p>
      <w:pPr>
        <w:spacing w:before="160" w:after="4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Executive Director – IT Governance</w:t>
      </w:r>
      <w:r>
        <w:rPr>
          <w:rFonts w:ascii="Arial" w:cs="Arial" w:eastAsia="Arial" w:hAnsi="Arial"/>
          <w:color w:val="444444"/>
          <w:sz w:val="20"/>
          <w:szCs w:val="20"/>
        </w:rPr>
        <w:t xml:space="preserve">  |  Options Clearing Corporation (OCC)  |  Coppell, TX  |  September 2023 – Present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Arial" w:cs="Arial" w:eastAsia="Arial" w:hAnsi="Arial"/>
          <w:sz w:val="20"/>
          <w:szCs w:val="20"/>
        </w:rPr>
        <w:t xml:space="preserve">Matured strategic planning capabilities for IT Governance, partnering with the CIO to define long-term regulatory compliance benchmarks.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Arial" w:cs="Arial" w:eastAsia="Arial" w:hAnsi="Arial"/>
          <w:sz w:val="20"/>
          <w:szCs w:val="20"/>
        </w:rPr>
        <w:t xml:space="preserve">Developed and implemented process, procedure, and policy improvements aligned to risk appetite and organizational objectives.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Arial" w:cs="Arial" w:eastAsia="Arial" w:hAnsi="Arial"/>
          <w:sz w:val="20"/>
          <w:szCs w:val="20"/>
        </w:rPr>
        <w:t xml:space="preserve">Matured Findings Management program, improving tracking, monitoring, and governance; reduced ineffective Internal Audit (IA) validations and IT-related findings while increasing issue closure rates.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Arial" w:cs="Arial" w:eastAsia="Arial" w:hAnsi="Arial"/>
          <w:sz w:val="20"/>
          <w:szCs w:val="20"/>
        </w:rPr>
        <w:t xml:space="preserve">Strengthened regulatory exam management processes and established productive relationships with SEC and CFTC examiners.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Arial" w:cs="Arial" w:eastAsia="Arial" w:hAnsi="Arial"/>
          <w:sz w:val="20"/>
          <w:szCs w:val="20"/>
        </w:rPr>
        <w:t xml:space="preserve">Tracked and reported key performance metrics to ensure alignment with risk appetite and company objectives.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Arial" w:cs="Arial" w:eastAsia="Arial" w:hAnsi="Arial"/>
          <w:sz w:val="20"/>
          <w:szCs w:val="20"/>
        </w:rPr>
        <w:t xml:space="preserve">Managed annual budget efficiently, reducing costs while meeting all goals and objectives.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Arial" w:cs="Arial" w:eastAsia="Arial" w:hAnsi="Arial"/>
          <w:sz w:val="20"/>
          <w:szCs w:val="20"/>
        </w:rPr>
        <w:t xml:space="preserve">Applied COBIT Framework to IT governance strategy and controls oversight.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Arial" w:cs="Arial" w:eastAsia="Arial" w:hAnsi="Arial"/>
          <w:sz w:val="20"/>
          <w:szCs w:val="20"/>
        </w:rPr>
        <w:t xml:space="preserve">Mentored and coached staff to support professional development and succession planning.</w:t>
      </w:r>
    </w:p>
    <w:p>
      <w:pPr>
        <w:spacing w:before="160" w:after="4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Director – Regulatory Response Management &amp; Oversight</w:t>
      </w:r>
      <w:r>
        <w:rPr>
          <w:rFonts w:ascii="Arial" w:cs="Arial" w:eastAsia="Arial" w:hAnsi="Arial"/>
          <w:color w:val="444444"/>
          <w:sz w:val="20"/>
          <w:szCs w:val="20"/>
        </w:rPr>
        <w:t xml:space="preserve">  |  Citibank  |  Irving, TX  |  May 2023 – September 2023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Arial" w:cs="Arial" w:eastAsia="Arial" w:hAnsi="Arial"/>
          <w:sz w:val="20"/>
          <w:szCs w:val="20"/>
        </w:rPr>
        <w:t xml:space="preserve">Designed and implemented an enterprise-wide framework, standards, templates, and tools for regulatory exam responses and submissions.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Arial" w:cs="Arial" w:eastAsia="Arial" w:hAnsi="Arial"/>
          <w:sz w:val="20"/>
          <w:szCs w:val="20"/>
        </w:rPr>
        <w:t xml:space="preserve">Developed and evolved Regulatory Response Management standards and procedures globally, building organizational capability across businesses, functions, and regions.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Arial" w:cs="Arial" w:eastAsia="Arial" w:hAnsi="Arial"/>
          <w:sz w:val="20"/>
          <w:szCs w:val="20"/>
        </w:rPr>
        <w:t xml:space="preserve">Established a Center of Excellence for Regulatory Response Management, partnering with regulatory teams and business areas across Citi globally.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Arial" w:cs="Arial" w:eastAsia="Arial" w:hAnsi="Arial"/>
          <w:sz w:val="20"/>
          <w:szCs w:val="20"/>
        </w:rPr>
        <w:t xml:space="preserve">Led Regulatory Response Management forums providing ongoing guidance, governance, and oversight of response management processes.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Arial" w:cs="Arial" w:eastAsia="Arial" w:hAnsi="Arial"/>
          <w:sz w:val="20"/>
          <w:szCs w:val="20"/>
        </w:rPr>
        <w:t xml:space="preserve">Drove integration and adoption of tools and processes for effective regulatory response lifecycle management.</w:t>
      </w:r>
    </w:p>
    <w:p>
      <w:pPr>
        <w:spacing w:before="160" w:after="4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Risk &amp; Regulatory Transformation Consultant (Contract)</w:t>
      </w:r>
      <w:r>
        <w:rPr>
          <w:rFonts w:ascii="Arial" w:cs="Arial" w:eastAsia="Arial" w:hAnsi="Arial"/>
          <w:color w:val="444444"/>
          <w:sz w:val="20"/>
          <w:szCs w:val="20"/>
        </w:rPr>
        <w:t xml:space="preserve">  |  Citibank  |  Dallas, TX  |  November 2022 – May 2023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Arial" w:cs="Arial" w:eastAsia="Arial" w:hAnsi="Arial"/>
          <w:sz w:val="20"/>
          <w:szCs w:val="20"/>
        </w:rPr>
        <w:t xml:space="preserve">Served as Enforcement Action Subject Matter Expert (SME) for the Wealth Management Credit Risk Framework delivery.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Arial" w:cs="Arial" w:eastAsia="Arial" w:hAnsi="Arial"/>
          <w:sz w:val="20"/>
          <w:szCs w:val="20"/>
        </w:rPr>
        <w:t xml:space="preserve">Managed delivery and execution of enforcement action milestones and deliverables; ensured on-time corrective action completion.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Arial" w:cs="Arial" w:eastAsia="Arial" w:hAnsi="Arial"/>
          <w:sz w:val="20"/>
          <w:szCs w:val="20"/>
        </w:rPr>
        <w:t xml:space="preserve">Credibly challenged written documentation and closing packages to ensure evidence met regulatory expectations and Consent Order requirements.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Arial" w:cs="Arial" w:eastAsia="Arial" w:hAnsi="Arial"/>
          <w:sz w:val="20"/>
          <w:szCs w:val="20"/>
        </w:rPr>
        <w:t xml:space="preserve">Analyzed and recommended process improvements to align closing procedures with regulatory expectations.</w:t>
      </w:r>
    </w:p>
    <w:p>
      <w:pPr>
        <w:spacing w:before="160" w:after="4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Head of Enterprise Regulatory Relations</w:t>
      </w:r>
      <w:r>
        <w:rPr>
          <w:rFonts w:ascii="Arial" w:cs="Arial" w:eastAsia="Arial" w:hAnsi="Arial"/>
          <w:color w:val="444444"/>
          <w:sz w:val="20"/>
          <w:szCs w:val="20"/>
        </w:rPr>
        <w:t xml:space="preserve">  |  USAA  |  Dallas, TX  |  October 2019 – July 2022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Arial" w:cs="Arial" w:eastAsia="Arial" w:hAnsi="Arial"/>
          <w:sz w:val="20"/>
          <w:szCs w:val="20"/>
        </w:rPr>
        <w:t xml:space="preserve">Provided executive thought leadership and strategic direction on regulatory issues, industry trends, and economic developments impacting the enterprise.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Arial" w:cs="Arial" w:eastAsia="Arial" w:hAnsi="Arial"/>
          <w:sz w:val="20"/>
          <w:szCs w:val="20"/>
        </w:rPr>
        <w:t xml:space="preserve">Designed and built an enterprise Regulatory Relations interaction and operating model supporting Senior Executive and C-Suite leadership engagement with Federal regulators (OCC, FDIC, CFPB, FED).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Arial" w:cs="Arial" w:eastAsia="Arial" w:hAnsi="Arial"/>
          <w:sz w:val="20"/>
          <w:szCs w:val="20"/>
        </w:rPr>
        <w:t xml:space="preserve">Managed teams of Compliance Managers, SMEs, and compliance professionals including former regulators from FDIC, CFPB, FED, and OCC.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Arial" w:cs="Arial" w:eastAsia="Arial" w:hAnsi="Arial"/>
          <w:sz w:val="20"/>
          <w:szCs w:val="20"/>
        </w:rPr>
        <w:t xml:space="preserve">Provided oversight of Regulatory Exam Management, Regulatory Issue Management, Enforcement Action Remediation, and Regulatory Reporting.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Arial" w:cs="Arial" w:eastAsia="Arial" w:hAnsi="Arial"/>
          <w:sz w:val="20"/>
          <w:szCs w:val="20"/>
        </w:rPr>
        <w:t xml:space="preserve">Reviewed new bank products, services, projects, and initiatives for regulatory compliance; provided advisory support to the CEO and Senior Executive leaders.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Arial" w:cs="Arial" w:eastAsia="Arial" w:hAnsi="Arial"/>
          <w:sz w:val="20"/>
          <w:szCs w:val="20"/>
        </w:rPr>
        <w:t xml:space="preserve">Facilitated ongoing senior-level engagement with lead Bank and Enterprise regulators, building relationships grounded in open communication and transparency.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Arial" w:cs="Arial" w:eastAsia="Arial" w:hAnsi="Arial"/>
          <w:sz w:val="20"/>
          <w:szCs w:val="20"/>
        </w:rPr>
        <w:t xml:space="preserve">Ensured accountability for remediation activities resulting from regulatory supervision, reporting progress to governance committees and regulators.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Arial" w:cs="Arial" w:eastAsia="Arial" w:hAnsi="Arial"/>
          <w:sz w:val="20"/>
          <w:szCs w:val="20"/>
        </w:rPr>
        <w:t xml:space="preserve">Collaborated with Government Affairs to align Regulatory Relations strategies and upcoming regulatory previews.</w:t>
      </w:r>
    </w:p>
    <w:p>
      <w:pPr>
        <w:spacing w:before="160" w:after="4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Vice President – Issues Management / Regulatory Change Governance Office Lead</w:t>
      </w:r>
      <w:r>
        <w:rPr>
          <w:rFonts w:ascii="Arial" w:cs="Arial" w:eastAsia="Arial" w:hAnsi="Arial"/>
          <w:color w:val="444444"/>
          <w:sz w:val="20"/>
          <w:szCs w:val="20"/>
        </w:rPr>
        <w:t xml:space="preserve">  |  Wells Fargo  |  Dallas, TX  |  September 2016 – October 2019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Arial" w:cs="Arial" w:eastAsia="Arial" w:hAnsi="Arial"/>
          <w:sz w:val="20"/>
          <w:szCs w:val="20"/>
        </w:rPr>
        <w:t xml:space="preserve">Led Issues Management program enabling Compliance Consultants to conduct continuous monitoring assessments, document results, and perform root cause analysis.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Arial" w:cs="Arial" w:eastAsia="Arial" w:hAnsi="Arial"/>
          <w:sz w:val="20"/>
          <w:szCs w:val="20"/>
        </w:rPr>
        <w:t xml:space="preserve">Led Regulatory Change Governance Office, providing governance and oversight of enterprise-wide regulatory change management processes.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Arial" w:cs="Arial" w:eastAsia="Arial" w:hAnsi="Arial"/>
          <w:sz w:val="20"/>
          <w:szCs w:val="20"/>
        </w:rPr>
        <w:t xml:space="preserve">Developed job aids, tools, and regulatory guidance for review scoping, assessment methodologies, and issue ratings.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Arial" w:cs="Arial" w:eastAsia="Arial" w:hAnsi="Arial"/>
          <w:sz w:val="20"/>
          <w:szCs w:val="20"/>
        </w:rPr>
        <w:t xml:space="preserve">Managed PACA Reporting, Disposition processes, and CRM Nominations process supporting enterprise regulatory change activities.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Arial" w:cs="Arial" w:eastAsia="Arial" w:hAnsi="Arial"/>
          <w:sz w:val="20"/>
          <w:szCs w:val="20"/>
        </w:rPr>
        <w:t xml:space="preserve">Drafted enterprise-wide policies, procedures, and regulatory change governance standards; maintained RCM Policy and Procedures.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Arial" w:cs="Arial" w:eastAsia="Arial" w:hAnsi="Arial"/>
          <w:sz w:val="20"/>
          <w:szCs w:val="20"/>
        </w:rPr>
        <w:t xml:space="preserve">Developed regulatory change metrics in partnership with Wells Fargo Compliance Operations; produced monthly and quarterly regulatory change reports for CCO and Controller.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Arial" w:cs="Arial" w:eastAsia="Arial" w:hAnsi="Arial"/>
          <w:sz w:val="20"/>
          <w:szCs w:val="20"/>
        </w:rPr>
        <w:t xml:space="preserve">Created and delivered Global Regulatory Change Governance Compliance Training to compliance teams in Asia, Canada, APAC, and LATAM across multiple time zones.</w:t>
      </w:r>
    </w:p>
    <w:p>
      <w:pPr>
        <w:spacing w:before="160" w:after="4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Vice President – Regulatory Liaison</w:t>
      </w:r>
      <w:r>
        <w:rPr>
          <w:rFonts w:ascii="Arial" w:cs="Arial" w:eastAsia="Arial" w:hAnsi="Arial"/>
          <w:color w:val="444444"/>
          <w:sz w:val="20"/>
          <w:szCs w:val="20"/>
        </w:rPr>
        <w:t xml:space="preserve">  |  Santander Consumer USA  |  Dallas, TX  |  May 2014 – May 2016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Arial" w:cs="Arial" w:eastAsia="Arial" w:hAnsi="Arial"/>
          <w:sz w:val="20"/>
          <w:szCs w:val="20"/>
        </w:rPr>
        <w:t xml:space="preserve">Managed a team of 40 employees with 4 Directors; served as primary regulatory point of contact supporting the Chief Compliance Officer (CCO).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Arial" w:cs="Arial" w:eastAsia="Arial" w:hAnsi="Arial"/>
          <w:sz w:val="20"/>
          <w:szCs w:val="20"/>
        </w:rPr>
        <w:t xml:space="preserve">Managed regulatory exam management and response processes for CFPB, FRB, FDIC, OCC, and State regulators.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Arial" w:cs="Arial" w:eastAsia="Arial" w:hAnsi="Arial"/>
          <w:sz w:val="20"/>
          <w:szCs w:val="20"/>
        </w:rPr>
        <w:t xml:space="preserve">Advised CRO, CCO, and CCRO on examiner reactions, remediation strategies, and industry standards.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Arial" w:cs="Arial" w:eastAsia="Arial" w:hAnsi="Arial"/>
          <w:sz w:val="20"/>
          <w:szCs w:val="20"/>
        </w:rPr>
        <w:t xml:space="preserve">Managed Issue tracking via SharePoint and ARCHER for internally and externally identified deficiencies from inception to closure.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Arial" w:cs="Arial" w:eastAsia="Arial" w:hAnsi="Arial"/>
          <w:sz w:val="20"/>
          <w:szCs w:val="20"/>
        </w:rPr>
        <w:t xml:space="preserve">Developed escalation processes to Executive Management and key senior leaders for identified issues and findings.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Arial" w:cs="Arial" w:eastAsia="Arial" w:hAnsi="Arial"/>
          <w:sz w:val="20"/>
          <w:szCs w:val="20"/>
        </w:rPr>
        <w:t xml:space="preserve">Managed Corrective Action Plans (CAPs), Internal Audit remediation, compliance testing, and Third-Party Provider oversight.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Arial" w:cs="Arial" w:eastAsia="Arial" w:hAnsi="Arial"/>
          <w:sz w:val="20"/>
          <w:szCs w:val="20"/>
        </w:rPr>
        <w:t xml:space="preserve">Oversaw ad-hoc special projects including Enhanced Prudential Standards, Model Risk Management, ALLL enhancements, SCRA process improvements, and CARD Act Reviews.</w:t>
      </w:r>
    </w:p>
    <w:p>
      <w:pPr>
        <w:spacing w:before="160" w:after="4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Director – Consumer Compliance</w:t>
      </w:r>
      <w:r>
        <w:rPr>
          <w:rFonts w:ascii="Arial" w:cs="Arial" w:eastAsia="Arial" w:hAnsi="Arial"/>
          <w:color w:val="444444"/>
          <w:sz w:val="20"/>
          <w:szCs w:val="20"/>
        </w:rPr>
        <w:t xml:space="preserve">  |  Santander Consumer USA  |  Dallas, TX  |  February 2014 – May 2014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Arial" w:cs="Arial" w:eastAsia="Arial" w:hAnsi="Arial"/>
          <w:sz w:val="20"/>
          <w:szCs w:val="20"/>
        </w:rPr>
        <w:t xml:space="preserve">Managed Consumer Compliance Managers providing oversight of Training, Policies and Procedures, Change Management, Unsecured Lending, and Marketing compliance.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Arial" w:cs="Arial" w:eastAsia="Arial" w:hAnsi="Arial"/>
          <w:sz w:val="20"/>
          <w:szCs w:val="20"/>
        </w:rPr>
        <w:t xml:space="preserve">Developed companywide compliance training curriculum and credit risk management training, leading to successful closure of an MRIA from the Federal Reserve Bank.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Arial" w:cs="Arial" w:eastAsia="Arial" w:hAnsi="Arial"/>
          <w:sz w:val="20"/>
          <w:szCs w:val="20"/>
        </w:rPr>
        <w:t xml:space="preserve">Identified, tracked, and remediated compliance gaps through corrective action plans across all Business Units.</w:t>
      </w:r>
    </w:p>
    <w:p>
      <w:pPr>
        <w:spacing w:before="160" w:after="4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Manager – Compliance Risk</w:t>
      </w:r>
      <w:r>
        <w:rPr>
          <w:rFonts w:ascii="Arial" w:cs="Arial" w:eastAsia="Arial" w:hAnsi="Arial"/>
          <w:color w:val="444444"/>
          <w:sz w:val="20"/>
          <w:szCs w:val="20"/>
        </w:rPr>
        <w:t xml:space="preserve">  |  Think Finance  |  Fort Worth, TX  |  July 2013 – February 2014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Arial" w:cs="Arial" w:eastAsia="Arial" w:hAnsi="Arial"/>
          <w:sz w:val="20"/>
          <w:szCs w:val="20"/>
        </w:rPr>
        <w:t xml:space="preserve">Provided guidance for CFPB Readiness Reviews and mock exams; managed day-to-day compliance risk across multiple online lending products.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Arial" w:cs="Arial" w:eastAsia="Arial" w:hAnsi="Arial"/>
          <w:sz w:val="20"/>
          <w:szCs w:val="20"/>
        </w:rPr>
        <w:t xml:space="preserve">Provided compliance oversight for marketing, social media, business requirements, and standard operating procedures.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Arial" w:cs="Arial" w:eastAsia="Arial" w:hAnsi="Arial"/>
          <w:sz w:val="20"/>
          <w:szCs w:val="20"/>
        </w:rPr>
        <w:t xml:space="preserve">Improved OFAC Governance, Policies, and Procedures; developed business strategies to improve BBB ratings.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Arial" w:cs="Arial" w:eastAsia="Arial" w:hAnsi="Arial"/>
          <w:sz w:val="20"/>
          <w:szCs w:val="20"/>
        </w:rPr>
        <w:t xml:space="preserve">Experience in Installment Lending, Tribal Lending, Leasing, and User Acceptance Testing for website compliance.</w:t>
      </w:r>
    </w:p>
    <w:p>
      <w:pPr>
        <w:spacing w:before="160" w:after="4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ERS Senior Consultant / Regulatory Risk Infrastructure Project Manager (PMO)</w:t>
      </w:r>
      <w:r>
        <w:rPr>
          <w:rFonts w:ascii="Arial" w:cs="Arial" w:eastAsia="Arial" w:hAnsi="Arial"/>
          <w:color w:val="444444"/>
          <w:sz w:val="20"/>
          <w:szCs w:val="20"/>
        </w:rPr>
        <w:t xml:space="preserve">  |  Deloitte  |  Dallas, TX  |  February 2011 – July 2013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Arial" w:cs="Arial" w:eastAsia="Arial" w:hAnsi="Arial"/>
          <w:sz w:val="20"/>
          <w:szCs w:val="20"/>
        </w:rPr>
        <w:t xml:space="preserve">Performed Business Risk Analysis, Enterprise Risk Management reviews, Capital Planning and Stress Testing analysis, and ALLL analysis.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Arial" w:cs="Arial" w:eastAsia="Arial" w:hAnsi="Arial"/>
          <w:sz w:val="20"/>
          <w:szCs w:val="20"/>
        </w:rPr>
        <w:t xml:space="preserve">Served as PMO Lead for Regulatory Risk Infrastructure Project; managed multiple workstreams and resources.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Arial" w:cs="Arial" w:eastAsia="Arial" w:hAnsi="Arial"/>
          <w:sz w:val="20"/>
          <w:szCs w:val="20"/>
        </w:rPr>
        <w:t xml:space="preserve">Conducted Fair Lending Review Coordination and comparative analysis; led loan reviews and credit risk reviews.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Arial" w:cs="Arial" w:eastAsia="Arial" w:hAnsi="Arial"/>
          <w:sz w:val="20"/>
          <w:szCs w:val="20"/>
        </w:rPr>
        <w:t xml:space="preserve">Subject Matter Expert in Compliance Risk Management and Operational Risk Management; drafted Retail Credit and Appraisal Model Validation policies.</w:t>
      </w:r>
    </w:p>
    <w:p>
      <w:pPr>
        <w:spacing w:before="160" w:after="4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National Bank Examiner</w:t>
      </w:r>
      <w:r>
        <w:rPr>
          <w:rFonts w:ascii="Arial" w:cs="Arial" w:eastAsia="Arial" w:hAnsi="Arial"/>
          <w:color w:val="444444"/>
          <w:sz w:val="20"/>
          <w:szCs w:val="20"/>
        </w:rPr>
        <w:t xml:space="preserve">  |  U.S. Department of the Treasury / OCC  |  Dallas, TX  |  January 2004 – February 2011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Arial" w:cs="Arial" w:eastAsia="Arial" w:hAnsi="Arial"/>
          <w:sz w:val="20"/>
          <w:szCs w:val="20"/>
        </w:rPr>
        <w:t xml:space="preserve">Led targeted Commercial Real Estate (CRE) exams and managed problem banks in the field office.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Arial" w:cs="Arial" w:eastAsia="Arial" w:hAnsi="Arial"/>
          <w:sz w:val="20"/>
          <w:szCs w:val="20"/>
        </w:rPr>
        <w:t xml:space="preserve">Led and participated in ALLL analysis in accordance with FAS 5 and FAS 114.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Arial" w:cs="Arial" w:eastAsia="Arial" w:hAnsi="Arial"/>
          <w:sz w:val="20"/>
          <w:szCs w:val="20"/>
        </w:rPr>
        <w:t xml:space="preserve">Conducted Consumer Reinvestment Act (CRA), CARD Act, BSA/AML, and USA PATRIOT Act examinations.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Arial" w:cs="Arial" w:eastAsia="Arial" w:hAnsi="Arial"/>
          <w:sz w:val="20"/>
          <w:szCs w:val="20"/>
        </w:rPr>
        <w:t xml:space="preserve">Analyzed bank earnings, capital, interest rate risk, investment strategies, and consumer banking law compliance.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Arial" w:cs="Arial" w:eastAsia="Arial" w:hAnsi="Arial"/>
          <w:sz w:val="20"/>
          <w:szCs w:val="20"/>
        </w:rPr>
        <w:t xml:space="preserve">Presented findings and recommendations to Senior Management and Boards of Directors during formal exit meetings.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Arial" w:cs="Arial" w:eastAsia="Arial" w:hAnsi="Arial"/>
          <w:sz w:val="20"/>
          <w:szCs w:val="20"/>
        </w:rPr>
        <w:t xml:space="preserve">Reviewed budgeting processes for banking institutions with $50MM+ in assets.</w:t>
      </w:r>
    </w:p>
    <w:p>
      <w:pPr>
        <w:spacing w:before="200" w:after="60"/>
      </w:pPr>
      <w:r>
        <w:rPr>
          <w:rFonts w:ascii="Arial" w:cs="Arial" w:eastAsia="Arial" w:hAnsi="Arial"/>
          <w:b/>
          <w:bCs/>
          <w:color w:val="1F4E79"/>
          <w:sz w:val="24"/>
          <w:szCs w:val="24"/>
        </w:rPr>
        <w:t xml:space="preserve">EDUCATION</w:t>
      </w:r>
    </w:p>
    <w:p>
      <w:pPr>
        <w:pBdr>
          <w:bottom w:val="single" w:color="1F4E79" w:sz="6"/>
        </w:pBdr>
        <w:spacing w:after="80"/>
      </w:pPr>
    </w:p>
    <w:p>
      <w:pPr>
        <w:spacing w:after="60"/>
      </w:pPr>
      <w:r>
        <w:rPr>
          <w:rFonts w:ascii="Arial" w:cs="Arial" w:eastAsia="Arial" w:hAnsi="Arial"/>
          <w:b/>
          <w:bCs/>
          <w:sz w:val="20"/>
          <w:szCs w:val="20"/>
        </w:rPr>
        <w:t xml:space="preserve">B.S., Business Finance</w:t>
      </w:r>
      <w:r>
        <w:rPr>
          <w:rFonts w:ascii="Arial" w:cs="Arial" w:eastAsia="Arial" w:hAnsi="Arial"/>
          <w:sz w:val="20"/>
          <w:szCs w:val="20"/>
        </w:rPr>
        <w:t xml:space="preserve">  —  Hampton University, Hampton, VA  |  May 2001</w:t>
      </w:r>
    </w:p>
    <w:p>
      <w:pPr>
        <w:spacing w:before="200" w:after="60"/>
      </w:pPr>
      <w:r>
        <w:rPr>
          <w:rFonts w:ascii="Arial" w:cs="Arial" w:eastAsia="Arial" w:hAnsi="Arial"/>
          <w:b/>
          <w:bCs/>
          <w:color w:val="1F4E79"/>
          <w:sz w:val="24"/>
          <w:szCs w:val="24"/>
        </w:rPr>
        <w:t xml:space="preserve">PROFESSIONAL ORGANIZATIONS &amp; AFFILIATIONS</w:t>
      </w:r>
    </w:p>
    <w:p>
      <w:pPr>
        <w:pBdr>
          <w:bottom w:val="single" w:color="1F4E79" w:sz="6"/>
        </w:pBdr>
        <w:spacing w:after="80"/>
      </w:pP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Arial" w:cs="Arial" w:eastAsia="Arial" w:hAnsi="Arial"/>
          <w:sz w:val="20"/>
          <w:szCs w:val="20"/>
        </w:rPr>
        <w:t xml:space="preserve">National Auto Finance Compliance Professional (June 2016)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rFonts w:ascii="Arial" w:cs="Arial" w:eastAsia="Arial" w:hAnsi="Arial"/>
          <w:sz w:val="20"/>
          <w:szCs w:val="20"/>
        </w:rPr>
        <w:t xml:space="preserve">Black Executive Leadership Program (BELP) Participant (October 2021)</w:t>
      </w:r>
    </w:p>
    <w:p>
      <w:pPr>
        <w:spacing w:before="200" w:after="60"/>
      </w:pPr>
      <w:r>
        <w:rPr>
          <w:rFonts w:ascii="Arial" w:cs="Arial" w:eastAsia="Arial" w:hAnsi="Arial"/>
          <w:b/>
          <w:bCs/>
          <w:color w:val="1F4E79"/>
          <w:sz w:val="24"/>
          <w:szCs w:val="24"/>
        </w:rPr>
        <w:t xml:space="preserve">TECHNOLOGY &amp; TOOLS</w:t>
      </w:r>
    </w:p>
    <w:p>
      <w:pPr>
        <w:pBdr>
          <w:bottom w:val="single" w:color="1F4E79" w:sz="6"/>
        </w:pBdr>
        <w:spacing w:after="80"/>
      </w:pPr>
    </w:p>
    <w:p>
      <w:pPr>
        <w:spacing w:after="80"/>
      </w:pPr>
      <w:r>
        <w:rPr>
          <w:rFonts w:ascii="Arial" w:cs="Arial" w:eastAsia="Arial" w:hAnsi="Arial"/>
          <w:sz w:val="20"/>
          <w:szCs w:val="20"/>
        </w:rPr>
        <w:t xml:space="preserve">Salesforce  •  Tableau  •  MetricStream  •  Archer GRC  •  SharePoint  •  SHRP Governance Management  •  Microsoft Office Suite  •  Access Database  •  Baker Hill  •  Patriot Act Software  •  FiServ  •  Jack Henry  •  COBIT Framework</w:t>
      </w:r>
    </w:p>
    <w:sectPr>
      <w:pgSz w:w="12240" w:h="15840" w:orient="portrait"/>
      <w:pgMar w:top="720" w:right="1080" w:bottom="72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360" w:hanging="20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2026-02-26T15:56:04.796Z</dcterms:created>
  <dcterms:modified xsi:type="dcterms:W3CDTF">2026-02-26T15:56:04.798Z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